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center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</w:rPr>
        <w:t>INNOVATIVE TECHNOLOGY FOR ARTIFICIAL LIFT PRODUCTIVITY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 xml:space="preserve">Wellpad Optimization System </w:t>
      </w:r>
      <w:r>
        <w:rPr>
          <w:rFonts w:ascii="Helvetica" w:hAnsi="Helvetica" w:hint="default"/>
          <w:b w:val="1"/>
          <w:bCs w:val="1"/>
          <w:kern w:val="2"/>
          <w:sz w:val="22"/>
          <w:szCs w:val="22"/>
          <w:u w:color="000000"/>
          <w:rtl w:val="0"/>
          <w:lang w:val="en-US"/>
        </w:rPr>
        <w:t>–</w:t>
      </w: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</w:rPr>
        <w:t>WOS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2882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 xml:space="preserve">Wellpad Optimization System </w:t>
      </w:r>
      <w:r>
        <w:rPr>
          <w:rFonts w:ascii="Helvetica" w:hAnsi="Helvetica" w:hint="default"/>
          <w:b w:val="1"/>
          <w:bCs w:val="1"/>
          <w:kern w:val="2"/>
          <w:sz w:val="22"/>
          <w:szCs w:val="22"/>
          <w:u w:color="000000"/>
          <w:rtl w:val="0"/>
          <w:lang w:val="en-US"/>
        </w:rPr>
        <w:t>–</w:t>
      </w: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WOS Onshore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Custom-engineered walk-in metal enclosure.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Well control system (SCP/VSD).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Cluster Control System (CC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60.0pt;margin-top:108.0pt;width:492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9.8pt;margin-top:719.0pt;width:484.0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S).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Emergency Shutdown System (ESS).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Access Control System (ACS).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Clean Agent System (CAS).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2882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 xml:space="preserve">Wellpad Optimization System </w:t>
      </w:r>
      <w:r>
        <w:rPr>
          <w:rFonts w:ascii="Helvetica" w:hAnsi="Helvetica" w:hint="default"/>
          <w:b w:val="1"/>
          <w:bCs w:val="1"/>
          <w:kern w:val="2"/>
          <w:sz w:val="22"/>
          <w:szCs w:val="22"/>
          <w:u w:color="000000"/>
          <w:rtl w:val="0"/>
          <w:lang w:val="en-US"/>
        </w:rPr>
        <w:t>–</w:t>
      </w: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</w:rPr>
        <w:t>WOS Offshore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Power quality equipment.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Internal Air-conditioning system.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Power Distribution Center (PDC).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Auxiliary Services Center (ASC).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Regulated Power System (UPS 240 / 120V).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Electrical Surge Protection system.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CILA 2S Intelligent Controller for Artificial Lift Systems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235942" cy="1957892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42" cy="1957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CILA 2S Intelligent Controller for Artificial Lift Systems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Integral solution design with different VSD Technologies to contr</w: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60.0pt;margin-top:108.0pt;width:492.0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9.8pt;margin-top:719.0pt;width:484.0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ol, protect, supervise and optimize different artificial lift methods like PCPs, Rod Pumps, ESP and multiphase pumps.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Knowledge enhancement in artificial lift systems.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Best control and power system technology.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Low harmonics solutions.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Overall system integrity (Surface &amp; downhole).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pt-PT"/>
        </w:rPr>
        <w:t>PCP Drive-head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2882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pt-PT"/>
        </w:rPr>
        <w:t>PCP Drive-head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Robust and compact design hollow shaft type 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–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standard belt sheave system for PCP applications.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Special Drive-head for gear motor.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Break system features hydraulic equipment with an Oil-gauge</w: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60.0pt;margin-top:108.0pt;width:492.0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59.8pt;margin-top:719.0pt;width:484.0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Self-lubricating seal stuffing box type.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pt-PT"/>
        </w:rPr>
        <w:t>Surface PCP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6375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63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Multiphase pumping system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Flow rates up to 50.000 BPD.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Pressures up to 1.000 PSI.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Pumping of oil, gas and water mixtures with solids.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Low and medium voltage.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pt-PT"/>
        </w:rPr>
        <w:t>Progressive Cavity Pumps (PCP)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50080" cy="202882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Multiphase pumping system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PCP Pumps for different flow rates: From 8 BPD up to 6100 BPD.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pt-PT"/>
        </w:rPr>
        <w:t xml:space="preserve"> PCP Pumps for different diameters: 2-3/8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”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it-IT"/>
        </w:rPr>
        <w:t>to 6-5/8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”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it-IT"/>
        </w:rPr>
        <w:t>inches.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Use of different types of elastomers, according to technical evaluation.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S</w: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0.0pt;margin-top:108.0pt;width:492.0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9.8pt;margin-top:719.0pt;width:484.0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CADA Optimization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0"/>
          <w:szCs w:val="20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28825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it-IT"/>
        </w:rPr>
        <w:t>SCADA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Access to well conditions and detailed production data.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Display of well operating variables.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Remotely operated wells.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Well performance test and Build-up from control center. 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Visual display of the status of each well in the field.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Test bench facilities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0"/>
          <w:szCs w:val="20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2882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2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Test Bench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Test bench facilities for testing surface equipment: Electric motors and VSD up to 400 amps.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Test bench facilities for PCP in Brazil, Colombia and Venezuel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60.0pt;margin-top:108.0pt;width:492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59.8pt;margin-top:719.0pt;width:484.0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a.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Test bench for downhole sensor.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PCP &amp; ESP Downhole Sensor (DHS)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0"/>
          <w:szCs w:val="20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41191" cy="206375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1" cy="2063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PCP &amp; ESP Downhole Sensor (DHS)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Downhole sensor with digital technology.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Intake and discharger temperature: 0 C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°– </w:t>
      </w:r>
      <w:r>
        <w:rPr>
          <w:rFonts w:ascii="Helvetica" w:hAnsi="Helvetica"/>
          <w:kern w:val="2"/>
          <w:sz w:val="20"/>
          <w:szCs w:val="20"/>
          <w:u w:color="000000"/>
          <w:rtl w:val="0"/>
        </w:rPr>
        <w:t xml:space="preserve">150 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>°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it-IT"/>
        </w:rPr>
        <w:t>C.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Intake and discharger pressure: 0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 –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pt-PT"/>
        </w:rPr>
        <w:t>5,800 PSI.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Vibration measurement range: 0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 – </w:t>
      </w:r>
      <w:r>
        <w:rPr>
          <w:rFonts w:ascii="Helvetica" w:hAnsi="Helvetica"/>
          <w:kern w:val="2"/>
          <w:sz w:val="20"/>
          <w:szCs w:val="20"/>
          <w:u w:color="000000"/>
          <w:rtl w:val="0"/>
        </w:rPr>
        <w:t>50 g.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</w:rPr>
        <w:t xml:space="preserve"> Carrier for pipe: 2 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–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7/8 to 5 </w:t>
      </w:r>
      <w:r>
        <w:rPr>
          <w:rFonts w:ascii="Helvetica" w:hAnsi="Helvetica" w:hint="default"/>
          <w:kern w:val="2"/>
          <w:sz w:val="20"/>
          <w:szCs w:val="20"/>
          <w:u w:color="000000"/>
          <w:rtl w:val="0"/>
          <w:lang w:val="en-US"/>
        </w:rPr>
        <w:t xml:space="preserve">– ½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it-IT"/>
        </w:rPr>
        <w:t>inches.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Round or flat communication cable.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fr-FR"/>
        </w:rPr>
        <w:t xml:space="preserve"> Cable clamp protector.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PCP &amp; ESP System application software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0"/>
          <w:szCs w:val="20"/>
          <w:u w:color="000000"/>
          <w:rtl w:val="0"/>
        </w:rPr>
      </w:pPr>
      <w:r>
        <w:rPr>
          <w:rFonts w:ascii="Calibri" w:cs="Calibri" w:hAnsi="Calibri" w:eastAsia="Calibri"/>
          <w:kern w:val="2"/>
          <w:sz w:val="22"/>
          <w:szCs w:val="22"/>
          <w:u w:color="000000"/>
          <w:rtl w:val="0"/>
        </w:rPr>
        <w:drawing>
          <wp:inline distT="0" distB="0" distL="0" distR="0">
            <wp:extent cx="4450080" cy="2037715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037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b w:val="1"/>
          <w:bCs w:val="1"/>
          <w:kern w:val="2"/>
          <w:sz w:val="22"/>
          <w:szCs w:val="22"/>
          <w:u w:color="000000"/>
          <w:rtl w:val="0"/>
          <w:lang w:val="en-US"/>
        </w:rPr>
        <w:t>PCP &amp; ESP System application software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Nomographic chart for</w: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1371600</wp:posOffset>
                </wp:positionV>
                <wp:extent cx="6248381" cy="1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381" cy="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60.0pt;margin-top:108.0pt;width:492.0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354C9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758951</wp:posOffset>
                </wp:positionH>
                <wp:positionV relativeFrom="page">
                  <wp:posOffset>9131302</wp:posOffset>
                </wp:positionV>
                <wp:extent cx="6146801" cy="1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6801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354C9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59.8pt;margin-top:719.0pt;width:484.0pt;height:0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354C9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 xml:space="preserve"> PCP, circular chart for ESP and dynagraph chart for beam pump.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b w:val="1"/>
          <w:bCs w:val="1"/>
          <w:kern w:val="2"/>
          <w:sz w:val="20"/>
          <w:szCs w:val="20"/>
          <w:u w:color="000000"/>
          <w:rtl w:val="0"/>
        </w:rPr>
        <w:t xml:space="preserve"> 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>High performance optimization for artificial lift oil production.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fr-FR"/>
        </w:rPr>
        <w:t xml:space="preserve"> Intelligent torque control.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  <w:lang w:val="en-US"/>
        </w:rPr>
        <w:t xml:space="preserve"> Backspin control.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sz w:val="20"/>
          <w:szCs w:val="20"/>
          <w:u w:color="000000"/>
          <w:rtl w:val="0"/>
        </w:rPr>
      </w:pPr>
      <w:r>
        <w:rPr>
          <w:rFonts w:ascii="Helvetica" w:hAnsi="Helvetica" w:hint="default"/>
          <w:b w:val="1"/>
          <w:bCs w:val="1"/>
          <w:kern w:val="2"/>
          <w:sz w:val="20"/>
          <w:szCs w:val="20"/>
          <w:u w:color="000000"/>
          <w:rtl w:val="0"/>
          <w:lang w:val="en-US"/>
        </w:rPr>
        <w:t>•</w:t>
      </w:r>
      <w:r>
        <w:rPr>
          <w:rFonts w:ascii="Helvetica" w:hAnsi="Helvetica"/>
          <w:kern w:val="2"/>
          <w:sz w:val="20"/>
          <w:szCs w:val="20"/>
          <w:u w:color="000000"/>
          <w:rtl w:val="0"/>
        </w:rPr>
        <w:t xml:space="preserve"> Staggered start.</w:t>
      </w: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kern w:val="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both"/>
        <w:rPr>
          <w:rFonts w:ascii="Helvetica" w:cs="Helvetica" w:hAnsi="Helvetica" w:eastAsia="Helvetica"/>
          <w:b w:val="1"/>
          <w:bCs w:val="1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kern w:val="2"/>
          <w:sz w:val="22"/>
          <w:szCs w:val="22"/>
          <w:u w:color="000000"/>
          <w:rtl w:val="0"/>
          <w:lang w:val="pt-PT"/>
        </w:rPr>
        <w:t>BCP-GROUP</w:t>
      </w: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800 Town &amp; Country Blvd</w:t>
      </w: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 xml:space="preserve">City Center ONE </w:t>
      </w:r>
      <w:r>
        <w:rPr>
          <w:rFonts w:ascii="Helvetica" w:hAnsi="Helvetica" w:hint="default"/>
          <w:kern w:val="2"/>
          <w:sz w:val="22"/>
          <w:szCs w:val="22"/>
          <w:u w:color="000000"/>
          <w:rtl w:val="0"/>
          <w:lang w:val="en-US"/>
        </w:rPr>
        <w:t xml:space="preserve">– </w:t>
      </w:r>
      <w:r>
        <w:rPr>
          <w:rFonts w:ascii="Helvetica" w:hAnsi="Helvetica"/>
          <w:kern w:val="2"/>
          <w:sz w:val="22"/>
          <w:szCs w:val="22"/>
          <w:u w:color="000000"/>
          <w:rtl w:val="0"/>
        </w:rPr>
        <w:t>Level 3</w:t>
      </w:r>
    </w:p>
    <w:p>
      <w:pPr>
        <w:pStyle w:val="Body"/>
        <w:bidi w:val="0"/>
        <w:spacing w:line="240" w:lineRule="auto"/>
        <w:ind w:left="0" w:right="0" w:firstLine="0"/>
        <w:jc w:val="right"/>
        <w:rPr>
          <w:rFonts w:ascii="Helvetica" w:cs="Helvetica" w:hAnsi="Helvetica" w:eastAsia="Helvetica"/>
          <w:kern w:val="2"/>
          <w:sz w:val="22"/>
          <w:szCs w:val="22"/>
          <w:u w:color="000000"/>
          <w:rtl w:val="0"/>
        </w:rPr>
      </w:pPr>
      <w:r>
        <w:rPr>
          <w:rFonts w:ascii="Helvetica" w:hAnsi="Helvetica"/>
          <w:kern w:val="2"/>
          <w:sz w:val="22"/>
          <w:szCs w:val="22"/>
          <w:u w:color="000000"/>
          <w:rtl w:val="0"/>
          <w:lang w:val="en-US"/>
        </w:rPr>
        <w:t>Houston, TX 77024</w:t>
      </w:r>
    </w:p>
    <w:p>
      <w:pPr>
        <w:pStyle w:val="Body"/>
        <w:bidi w:val="0"/>
        <w:spacing w:line="240" w:lineRule="auto"/>
        <w:ind w:left="0" w:right="0" w:firstLine="0"/>
        <w:jc w:val="right"/>
        <w:rPr>
          <w:rtl w:val="0"/>
        </w:rPr>
      </w:pPr>
      <w:r>
        <w:rPr>
          <w:rFonts w:ascii="Helvetica" w:hAnsi="Helvetica"/>
          <w:kern w:val="2"/>
          <w:sz w:val="22"/>
          <w:szCs w:val="22"/>
          <w:u w:color="000000"/>
          <w:rtl w:val="0"/>
        </w:rPr>
        <w:t>www.bcpgrp.com</w:t>
      </w:r>
    </w:p>
    <w:sectPr>
      <w:headerReference w:type="default" r:id="rId14"/>
      <w:footerReference w:type="default" r:id="rId15"/>
      <w:pgSz w:w="12240" w:h="15840" w:orient="portrait"/>
      <w:pgMar w:top="2520" w:right="1200" w:bottom="1800" w:left="1200" w:header="720" w:footer="104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Medium">
    <w:charset w:val="00"/>
    <w:family w:val="roman"/>
    <w:pitch w:val="default"/>
  </w:font>
  <w:font w:name="Helvetica Neue Light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920"/>
        <w:tab w:val="right" w:pos="9840"/>
        <w:tab w:val="clear" w:pos="9020"/>
      </w:tabs>
      <w:spacing w:line="264" w:lineRule="auto"/>
      <w:jc w:val="left"/>
      <w:rPr>
        <w:sz w:val="10"/>
        <w:szCs w:val="10"/>
      </w:rPr>
    </w:pPr>
    <w:r>
      <w:rPr>
        <w:sz w:val="10"/>
        <w:szCs w:val="10"/>
        <w:rtl w:val="0"/>
        <w:lang w:val="en-US"/>
      </w:rPr>
      <w:t>This document is  property of BCP</w:t>
    </w:r>
    <w:r>
      <w:rPr>
        <w:sz w:val="10"/>
        <w:szCs w:val="10"/>
        <w:rtl w:val="0"/>
        <w:lang w:val="en-US"/>
      </w:rPr>
      <w:t xml:space="preserve"> </w:t>
    </w:r>
    <w:r>
      <w:rPr>
        <w:sz w:val="10"/>
        <w:szCs w:val="10"/>
        <w:rtl w:val="0"/>
        <w:lang w:val="en-US"/>
      </w:rPr>
      <w:t xml:space="preserve">Group </w:t>
    </w:r>
    <w:r>
      <w:rPr>
        <w:sz w:val="10"/>
        <w:szCs w:val="10"/>
        <w:rtl w:val="0"/>
        <w:lang w:val="en-US"/>
      </w:rPr>
      <w:t>Artificial Lift</w:t>
    </w:r>
    <w:r>
      <w:rPr>
        <w:sz w:val="10"/>
        <w:szCs w:val="10"/>
        <w:rtl w:val="0"/>
        <w:lang w:val="en-US"/>
      </w:rPr>
      <w:t>- This document is not intended</w:t>
      <w:tab/>
      <w:tab/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000000"/>
        <w:sz w:val="20"/>
        <w:szCs w:val="20"/>
        <w:rtl w:val="0"/>
        <w:lang w:val="es-ES_tradnl"/>
      </w:rPr>
      <w:t xml:space="preserve"> 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000000"/>
        <w:sz w:val="20"/>
        <w:szCs w:val="20"/>
        <w:rtl w:val="0"/>
        <w:lang w:val="pt-PT"/>
      </w:rPr>
      <w:t>BCPGRP-DOC-OO2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000000"/>
        <w:sz w:val="20"/>
        <w:szCs w:val="20"/>
        <w:rtl w:val="0"/>
        <w:lang w:val="es-ES_tradnl"/>
      </w:rPr>
      <w:t>0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000000"/>
        <w:sz w:val="20"/>
        <w:szCs w:val="20"/>
        <w:rtl w:val="0"/>
      </w:rPr>
      <w:t>-201</w:t>
    </w:r>
    <w:r>
      <w:rPr>
        <w:rFonts w:ascii="Helvetica Neue Light" w:cs="Arial Unicode MS" w:hAnsi="Helvetica Neue Light" w:eastAsia="Arial Unicode MS"/>
        <w:b w:val="0"/>
        <w:bCs w:val="0"/>
        <w:i w:val="0"/>
        <w:iCs w:val="0"/>
        <w:color w:val="000000"/>
        <w:sz w:val="20"/>
        <w:szCs w:val="20"/>
        <w:rtl w:val="0"/>
        <w:lang w:val="es-ES_tradnl"/>
      </w:rPr>
      <w:t>6</w:t>
    </w:r>
    <w:r>
      <w:rPr>
        <w:rFonts w:ascii="Helvetica Neue Light" w:cs="Arial Unicode MS" w:hAnsi="Helvetica Neue Light" w:eastAsia="Arial Unicode MS" w:hint="default"/>
        <w:b w:val="0"/>
        <w:bCs w:val="0"/>
        <w:i w:val="0"/>
        <w:iCs w:val="0"/>
        <w:color w:val="fefefe"/>
        <w:sz w:val="16"/>
        <w:szCs w:val="16"/>
        <w:rtl w:val="0"/>
        <w:lang w:val="en-US"/>
      </w:rPr>
      <w:t>…</w:t>
    </w:r>
  </w:p>
  <w:p>
    <w:pPr>
      <w:pStyle w:val="Header &amp; Footer"/>
      <w:tabs>
        <w:tab w:val="center" w:pos="4920"/>
        <w:tab w:val="right" w:pos="9840"/>
        <w:tab w:val="clear" w:pos="9020"/>
      </w:tabs>
      <w:spacing w:line="264" w:lineRule="auto"/>
      <w:jc w:val="left"/>
      <w:rPr>
        <w:sz w:val="10"/>
        <w:szCs w:val="10"/>
      </w:rPr>
    </w:pPr>
    <w:r>
      <w:rPr>
        <w:sz w:val="10"/>
        <w:szCs w:val="10"/>
        <w:rtl w:val="0"/>
        <w:lang w:val="en-US"/>
      </w:rPr>
      <w:t xml:space="preserve"> for general circulation and may not be reproduced or distributed without the</w:t>
    </w:r>
  </w:p>
  <w:p>
    <w:pPr>
      <w:pStyle w:val="Header &amp; Footer"/>
      <w:tabs>
        <w:tab w:val="center" w:pos="4920"/>
        <w:tab w:val="right" w:pos="9840"/>
        <w:tab w:val="clear" w:pos="9020"/>
      </w:tabs>
      <w:spacing w:line="264" w:lineRule="auto"/>
      <w:jc w:val="left"/>
    </w:pPr>
    <w:r>
      <w:rPr>
        <w:sz w:val="10"/>
        <w:szCs w:val="10"/>
        <w:rtl w:val="0"/>
        <w:lang w:val="en-US"/>
      </w:rPr>
      <w:t xml:space="preserve"> approval of BCP</w:t>
    </w:r>
    <w:r>
      <w:rPr>
        <w:sz w:val="10"/>
        <w:szCs w:val="10"/>
        <w:rtl w:val="0"/>
        <w:lang w:val="en-US"/>
      </w:rPr>
      <w:t xml:space="preserve"> </w:t>
    </w:r>
    <w:r>
      <w:rPr>
        <w:sz w:val="10"/>
        <w:szCs w:val="10"/>
        <w:rtl w:val="0"/>
        <w:lang w:val="en-US"/>
      </w:rPr>
      <w:t xml:space="preserve">Group </w:t>
    </w:r>
    <w:r>
      <w:rPr>
        <w:sz w:val="10"/>
        <w:szCs w:val="10"/>
        <w:rtl w:val="0"/>
        <w:lang w:val="en-US"/>
      </w:rPr>
      <w:t>Holding.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920"/>
        <w:tab w:val="right" w:pos="9840"/>
        <w:tab w:val="clear" w:pos="9020"/>
      </w:tabs>
      <w:jc w:val="left"/>
    </w:pPr>
    <w:r>
      <w:drawing>
        <wp:inline distT="0" distB="0" distL="0" distR="0">
          <wp:extent cx="949503" cy="80062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t="0" r="33" b="0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Header &amp; Footer"/>
      <w:tabs>
        <w:tab w:val="center" w:pos="4920"/>
        <w:tab w:val="right" w:pos="9840"/>
        <w:tab w:val="clear" w:pos="9020"/>
      </w:tabs>
      <w:jc w:val="left"/>
    </w:pPr>
  </w:p>
  <w:p>
    <w:pPr>
      <w:pStyle w:val="Header &amp; Footer"/>
      <w:tabs>
        <w:tab w:val="center" w:pos="4920"/>
        <w:tab w:val="right" w:pos="9840"/>
        <w:tab w:val="clear" w:pos="9020"/>
      </w:tabs>
      <w:jc w:val="left"/>
    </w:pPr>
    <w:r>
      <w:tab/>
    </w:r>
    <w:r>
      <w:rPr>
        <w:rtl w:val="0"/>
        <w:lang w:val="es-ES_tradnl"/>
      </w:rPr>
      <w:t>A-BCPGRP-ALL-SOLUTIONS-EN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0"/>
      <w:szCs w:val="20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12" w:lineRule="auto"/>
      <w:ind w:left="0" w:right="0" w:firstLine="0"/>
      <w:jc w:val="left"/>
      <w:outlineLvl w:val="9"/>
    </w:pPr>
    <w:rPr>
      <w:rFonts w:ascii="Helvetica Neue Light" w:cs="Helvetica Neue Light" w:hAnsi="Helvetica Neue Light" w:eastAsia="Helvetica Neue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25400" dist="12700" dir="540000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