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  <w:r>
        <w:rPr>
          <w:rFonts w:ascii="Helvetica" w:hAnsi="Helvetica"/>
          <w:b/>
          <w:bCs/>
          <w:kern w:val="2"/>
          <w:sz w:val="22"/>
          <w:szCs w:val="22"/>
          <w:u w:color="000000"/>
          <w:lang w:val="de-DE"/>
        </w:rPr>
        <w:t>WOS WELLPAD OPTIMIZATION SYSTEM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El WOS contiene dentro de una caseta modular con ambiente controlado todos los equipos necesarios para el Monitoreo, Control, Operación y Optimización de los sistemas individuales de levantamiento artificial ESP, PCP, Machine &amp; MPP que forman parte de un clúster de Producción, haciendo del equipo un componente integral que permite manejo de todo un clúster.</w:t>
      </w:r>
    </w:p>
    <w:p w:rsidR="00C57047" w:rsidRDefault="00C57047" w:rsidP="00C57047">
      <w:pPr>
        <w:pStyle w:val="Body"/>
        <w:spacing w:line="240" w:lineRule="auto"/>
        <w:jc w:val="both"/>
        <w:rPr>
          <w:rFonts w:ascii="Calibri" w:eastAsia="Calibri" w:hAnsi="Calibri" w:cs="Calibri"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 xml:space="preserve">El sistema permite optimización en tiempo real del pozo y del clúster así como el control remoto basado en plataforma de acceso a distancia el cual permite operación y monitoreo. El WOS cumple eficientemente con los nuevos estándares de calidad y energía (IEEE 519) y Onda de Salida Sinusoidal. Están conformados por equipos de diseño estándar que de forma modular e integrados con los software de aplicación CILA 2S hacen del WOS la mejor tecnología para </w:t>
      </w:r>
      <w:proofErr w:type="spellStart"/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clusters</w:t>
      </w:r>
      <w:proofErr w:type="spellEnd"/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 xml:space="preserve"> de producción convirtiéndose así en el sistema más avanzado de optimización de pozos.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 xml:space="preserve">El sistema permite optimización en tiempo real del pozo y del clúster así como el control remoto basado en plataforma de acceso a distancia el cual permite operación y monitoreo. El WOS cumple eficientemente con los nuevos estándares de calidad y energía (IEEE 519) y Onda de Salida Sinusoidal. Están conformados por equipos de diseño estándar que de forma modular e integrados con los software de aplicación CILA 2S hacen del WOS la mejor tecnología para </w:t>
      </w:r>
      <w:proofErr w:type="spellStart"/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Clusters</w:t>
      </w:r>
      <w:proofErr w:type="spellEnd"/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 xml:space="preserve"> de producción convirtiéndose así en el sistema más avanzado de optimización de pozos.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  <w:r>
        <w:rPr>
          <w:rFonts w:ascii="Helvetica" w:hAnsi="Helvetica"/>
          <w:b/>
          <w:bCs/>
          <w:kern w:val="2"/>
          <w:sz w:val="22"/>
          <w:szCs w:val="22"/>
          <w:u w:color="000000"/>
          <w:lang w:val="pt-PT"/>
        </w:rPr>
        <w:t>Algoritmos de Optimizaci</w:t>
      </w:r>
      <w:proofErr w:type="spellStart"/>
      <w:r w:rsidRPr="008226E9">
        <w:rPr>
          <w:rFonts w:ascii="Helvetica" w:hAnsi="Helvetica"/>
          <w:b/>
          <w:bCs/>
          <w:kern w:val="2"/>
          <w:sz w:val="22"/>
          <w:szCs w:val="22"/>
          <w:u w:color="000000"/>
        </w:rPr>
        <w:t>ó</w:t>
      </w:r>
      <w:r>
        <w:rPr>
          <w:rFonts w:ascii="Helvetica" w:hAnsi="Helvetica"/>
          <w:b/>
          <w:bCs/>
          <w:kern w:val="2"/>
          <w:sz w:val="22"/>
          <w:szCs w:val="22"/>
          <w:u w:color="000000"/>
        </w:rPr>
        <w:t>n</w:t>
      </w:r>
      <w:proofErr w:type="spellEnd"/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y optimización de pozos.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inteligente para optimización de pozos - “IWOC”.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Análisis automático de sentido de giro en ESP.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de torque inteligente para PCP.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Arranque escalonado.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de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flickeo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. 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Re-arranque automático configurable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multi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>-rampas.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 w:rsidRPr="008226E9">
        <w:rPr>
          <w:rFonts w:ascii="Helvetica" w:hAnsi="Helvetica"/>
          <w:b/>
          <w:bCs/>
          <w:kern w:val="2"/>
          <w:u w:color="000000"/>
        </w:rPr>
        <w:t>•</w:t>
      </w:r>
      <w:r>
        <w:rPr>
          <w:rFonts w:ascii="Helvetica" w:hAnsi="Helvetica"/>
          <w:kern w:val="2"/>
          <w:u w:color="000000"/>
          <w:lang w:val="pt-PT"/>
        </w:rPr>
        <w:t xml:space="preserve"> Deslastre de carga. 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 w:rsidRPr="008226E9">
        <w:rPr>
          <w:rFonts w:ascii="Helvetica" w:hAnsi="Helvetica"/>
          <w:b/>
          <w:bCs/>
          <w:kern w:val="2"/>
          <w:u w:color="000000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Prueba de pozo.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Curva (IPR).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Prueba (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Build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 Up) y primera derivada.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Cartas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dinagráficas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.  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por presión de fondo.    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Determinación de nivel para (PCP).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Control de Backspin.  Y más…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hint="eastAsia"/>
        </w:rPr>
        <w:sectPr w:rsidR="00C57047" w:rsidSect="00C57047">
          <w:headerReference w:type="default" r:id="rId7"/>
          <w:footerReference w:type="default" r:id="rId8"/>
          <w:type w:val="continuous"/>
          <w:pgSz w:w="12240" w:h="15840"/>
          <w:pgMar w:top="2520" w:right="1200" w:bottom="1800" w:left="1200" w:header="720" w:footer="1040" w:gutter="0"/>
          <w:cols w:space="720"/>
        </w:sect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lastRenderedPageBreak/>
        <w:drawing>
          <wp:inline distT="0" distB="0" distL="0" distR="0" wp14:anchorId="3B776732" wp14:editId="6EBECFE3">
            <wp:extent cx="1618615" cy="109601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096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de-DE"/>
        </w:rPr>
        <w:t>Carta  Nomogr</w:t>
      </w:r>
      <w:r>
        <w:rPr>
          <w:rFonts w:ascii="Helvetica" w:hAnsi="Helvetica"/>
          <w:kern w:val="2"/>
          <w:sz w:val="22"/>
          <w:szCs w:val="22"/>
          <w:u w:color="000000"/>
          <w:lang w:val="en-US"/>
        </w:rPr>
        <w:t>á</w:t>
      </w:r>
      <w:r>
        <w:rPr>
          <w:rFonts w:ascii="Helvetica" w:hAnsi="Helvetica"/>
          <w:kern w:val="2"/>
          <w:sz w:val="22"/>
          <w:szCs w:val="22"/>
          <w:u w:color="000000"/>
          <w:lang w:val="pt-PT"/>
        </w:rPr>
        <w:t>fica (PCP,ESP)</w:t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drawing>
          <wp:inline distT="0" distB="0" distL="0" distR="0" wp14:anchorId="293A38CB" wp14:editId="39A18B01">
            <wp:extent cx="1675765" cy="1136015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3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pt-PT"/>
        </w:rPr>
        <w:t>Curva IPR (BM,PCP,ESP)</w:t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drawing>
          <wp:inline distT="0" distB="0" distL="0" distR="0" wp14:anchorId="055E753E" wp14:editId="13C470C4">
            <wp:extent cx="1675765" cy="113601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3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pt-PT"/>
        </w:rPr>
        <w:t>Carta Circular (ESP)</w:t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eastAsia="Helvetica" w:hAnsi="Helvetica" w:cs="Helvetica"/>
          <w:noProof/>
          <w:kern w:val="2"/>
          <w:sz w:val="22"/>
          <w:szCs w:val="22"/>
          <w:u w:color="000000"/>
        </w:rPr>
        <w:lastRenderedPageBreak/>
        <w:drawing>
          <wp:inline distT="0" distB="0" distL="0" distR="0" wp14:anchorId="7226CD3E" wp14:editId="559CACA6">
            <wp:extent cx="1675765" cy="113601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3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Pruebas de pozo en l</w:t>
      </w:r>
      <w:r>
        <w:rPr>
          <w:rFonts w:ascii="Helvetica" w:hAnsi="Helvetica"/>
          <w:kern w:val="2"/>
          <w:sz w:val="22"/>
          <w:szCs w:val="22"/>
          <w:u w:color="000000"/>
          <w:lang w:val="en-US"/>
        </w:rPr>
        <w:t>í</w:t>
      </w:r>
      <w:r>
        <w:rPr>
          <w:rFonts w:ascii="Helvetica" w:hAnsi="Helvetica"/>
          <w:kern w:val="2"/>
          <w:sz w:val="22"/>
          <w:szCs w:val="22"/>
          <w:u w:color="000000"/>
        </w:rPr>
        <w:t>nea</w:t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drawing>
          <wp:inline distT="0" distB="0" distL="0" distR="0" wp14:anchorId="76983025" wp14:editId="477C0576">
            <wp:extent cx="1686561" cy="1141731"/>
            <wp:effectExtent l="0" t="0" r="0" b="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1" cy="1141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Carta Dinagráfica de fondo y superficie.</w:t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drawing>
          <wp:inline distT="0" distB="0" distL="0" distR="0" wp14:anchorId="7BEA49D1" wp14:editId="661EE1D7">
            <wp:extent cx="1664336" cy="1136015"/>
            <wp:effectExtent l="0" t="0" r="0" b="0"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6" cy="113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  <w:r>
        <w:rPr>
          <w:rFonts w:ascii="Helvetica" w:hAnsi="Helvetica"/>
          <w:kern w:val="2"/>
          <w:sz w:val="22"/>
          <w:szCs w:val="22"/>
          <w:u w:color="000000"/>
          <w:lang w:val="es-ES_tradnl"/>
        </w:rPr>
        <w:t>Control Inteligente para optimización de pozos- “IWOC”</w:t>
      </w:r>
    </w:p>
    <w:p w:rsidR="00C57047" w:rsidRDefault="00C57047" w:rsidP="00C57047">
      <w:pPr>
        <w:pStyle w:val="Body"/>
        <w:spacing w:line="240" w:lineRule="auto"/>
        <w:jc w:val="both"/>
        <w:rPr>
          <w:rFonts w:hint="eastAsia"/>
        </w:rPr>
        <w:sectPr w:rsidR="00C57047">
          <w:headerReference w:type="default" r:id="rId15"/>
          <w:footerReference w:type="default" r:id="rId16"/>
          <w:type w:val="continuous"/>
          <w:pgSz w:w="12240" w:h="15840"/>
          <w:pgMar w:top="2520" w:right="1200" w:bottom="1800" w:left="1200" w:header="720" w:footer="1040" w:gutter="0"/>
          <w:cols w:num="2" w:space="757"/>
        </w:sect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  <w:lang w:val="es-ES_tradnl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u w:color="000000"/>
        </w:rPr>
      </w:pPr>
      <w:r>
        <w:rPr>
          <w:rFonts w:ascii="Helvetica" w:hAnsi="Helvetica"/>
          <w:b/>
          <w:bCs/>
          <w:kern w:val="2"/>
          <w:sz w:val="22"/>
          <w:szCs w:val="22"/>
          <w:u w:color="000000"/>
          <w:lang w:val="es-ES_tradnl"/>
        </w:rPr>
        <w:t>Beneficios al implementar nuestra tecnología.</w:t>
      </w:r>
      <w:r>
        <w:rPr>
          <w:rFonts w:ascii="Helvetica" w:hAnsi="Helvetica"/>
          <w:b/>
          <w:bCs/>
          <w:kern w:val="2"/>
          <w:u w:color="000000"/>
          <w:lang w:val="es-ES_tradnl"/>
        </w:rPr>
        <w:t xml:space="preserve"> 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Calidad de energía - Reducción de armónicos y mejoramiento de factor potencia.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Integración de sensores de fondo al CILA 2S y WOS.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Comunicación con diferentes tipos de SCADA.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Infraestructura del clúster simplificada y recuperable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Plataforma de adquisición de datos selectivos para mejora en la transición de los mismos.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Optimizar la producción de los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clusters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 de producción.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Mayor Run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Life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 de los equipos de fondo como los de superficie.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Disminución del personal y del tiempo en instalación y puesta en marcha de los equipos dentro de un clúster.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Disminución en costos en desarrollo de campo basado en modelo clúster.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Disminución del impacto ambiental.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Capacidad de crecimiento modular.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 xml:space="preserve">• </w:t>
      </w:r>
      <w:r>
        <w:rPr>
          <w:rFonts w:ascii="Helvetica" w:hAnsi="Helvetica"/>
          <w:kern w:val="2"/>
          <w:u w:color="000000"/>
          <w:lang w:val="es-ES_tradnl"/>
        </w:rPr>
        <w:t>Integración total de datos.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u w:color="000000"/>
        </w:rPr>
      </w:pPr>
      <w:r w:rsidRPr="008226E9">
        <w:rPr>
          <w:rFonts w:ascii="Helvetica" w:hAnsi="Helvetica"/>
          <w:b/>
          <w:bCs/>
          <w:kern w:val="2"/>
          <w:u w:color="000000"/>
        </w:rPr>
        <w:t>•</w:t>
      </w:r>
      <w:r>
        <w:rPr>
          <w:rFonts w:ascii="Helvetica" w:hAnsi="Helvetica"/>
          <w:b/>
          <w:bCs/>
          <w:kern w:val="2"/>
          <w:u w:color="000000"/>
        </w:rPr>
        <w:t xml:space="preserve"> </w:t>
      </w:r>
      <w:proofErr w:type="spellStart"/>
      <w:r w:rsidRPr="008226E9">
        <w:rPr>
          <w:rFonts w:ascii="Helvetica" w:hAnsi="Helvetica"/>
          <w:kern w:val="2"/>
          <w:u w:color="000000"/>
        </w:rPr>
        <w:t>Ability</w:t>
      </w:r>
      <w:proofErr w:type="spellEnd"/>
      <w:r w:rsidRPr="008226E9">
        <w:rPr>
          <w:rFonts w:ascii="Helvetica" w:hAnsi="Helvetica"/>
          <w:kern w:val="2"/>
          <w:u w:color="000000"/>
        </w:rPr>
        <w:t xml:space="preserve"> to </w:t>
      </w:r>
      <w:proofErr w:type="spellStart"/>
      <w:r w:rsidRPr="008226E9">
        <w:rPr>
          <w:rFonts w:ascii="Helvetica" w:hAnsi="Helvetica"/>
          <w:kern w:val="2"/>
          <w:u w:color="000000"/>
        </w:rPr>
        <w:t>modulate</w:t>
      </w:r>
      <w:proofErr w:type="spellEnd"/>
      <w:r w:rsidRPr="008226E9">
        <w:rPr>
          <w:rFonts w:ascii="Helvetica" w:hAnsi="Helvetica"/>
          <w:kern w:val="2"/>
          <w:u w:color="000000"/>
        </w:rPr>
        <w:t xml:space="preserve"> </w:t>
      </w:r>
      <w:proofErr w:type="spellStart"/>
      <w:r w:rsidRPr="008226E9">
        <w:rPr>
          <w:rFonts w:ascii="Helvetica" w:hAnsi="Helvetica"/>
          <w:kern w:val="2"/>
          <w:u w:color="000000"/>
        </w:rPr>
        <w:t>growth</w:t>
      </w:r>
      <w:proofErr w:type="spellEnd"/>
      <w:r w:rsidRPr="008226E9">
        <w:rPr>
          <w:rFonts w:ascii="Helvetica" w:hAnsi="Helvetica"/>
          <w:kern w:val="2"/>
          <w:u w:color="000000"/>
        </w:rPr>
        <w:t>.</w:t>
      </w:r>
    </w:p>
    <w:p w:rsidR="00C57047" w:rsidRDefault="00C57047" w:rsidP="00C57047">
      <w:pPr>
        <w:pStyle w:val="Body"/>
        <w:spacing w:line="240" w:lineRule="auto"/>
        <w:jc w:val="both"/>
        <w:rPr>
          <w:rFonts w:ascii="Calibri" w:eastAsia="Calibri" w:hAnsi="Calibri" w:cs="Calibri"/>
          <w:kern w:val="2"/>
          <w:sz w:val="22"/>
          <w:szCs w:val="22"/>
          <w:u w:color="000000"/>
        </w:rPr>
      </w:pPr>
      <w:r w:rsidRPr="008226E9">
        <w:rPr>
          <w:rFonts w:ascii="Helvetica" w:hAnsi="Helvetica"/>
          <w:b/>
          <w:bCs/>
          <w:kern w:val="2"/>
          <w:u w:color="000000"/>
        </w:rPr>
        <w:t>•</w:t>
      </w:r>
      <w:r>
        <w:rPr>
          <w:rFonts w:ascii="Helvetica" w:hAnsi="Helvetica"/>
          <w:b/>
          <w:bCs/>
          <w:kern w:val="2"/>
          <w:u w:color="000000"/>
        </w:rPr>
        <w:t xml:space="preserve"> </w:t>
      </w:r>
      <w:r>
        <w:rPr>
          <w:rFonts w:ascii="Helvetica" w:hAnsi="Helvetica"/>
          <w:kern w:val="2"/>
          <w:u w:color="000000"/>
          <w:lang w:val="es-ES_tradnl"/>
        </w:rPr>
        <w:t xml:space="preserve">Transferencia y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tecnolog</w:t>
      </w:r>
      <w:proofErr w:type="spellEnd"/>
      <w:r w:rsidRPr="008226E9">
        <w:rPr>
          <w:rFonts w:ascii="Helvetica" w:hAnsi="Helvetica"/>
          <w:kern w:val="2"/>
          <w:u w:color="000000"/>
        </w:rPr>
        <w:t>í</w:t>
      </w:r>
      <w:r>
        <w:rPr>
          <w:rFonts w:ascii="Helvetica" w:hAnsi="Helvetica"/>
          <w:kern w:val="2"/>
          <w:u w:color="000000"/>
          <w:lang w:val="it-IT"/>
        </w:rPr>
        <w:t>a Colombiana.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Calibri" w:eastAsia="Calibri" w:hAnsi="Calibri" w:cs="Calibri"/>
          <w:kern w:val="2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kern w:val="2"/>
          <w:sz w:val="22"/>
          <w:szCs w:val="22"/>
          <w:u w:color="000000"/>
        </w:rPr>
        <w:drawing>
          <wp:inline distT="0" distB="0" distL="0" distR="0" wp14:anchorId="25B468EB" wp14:editId="1529B65F">
            <wp:extent cx="5943600" cy="2370455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7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center"/>
        <w:rPr>
          <w:rFonts w:ascii="Calibri" w:eastAsia="Calibri" w:hAnsi="Calibri" w:cs="Calibri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Calibri" w:eastAsia="Calibri" w:hAnsi="Calibri" w:cs="Calibri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center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r>
        <w:rPr>
          <w:rFonts w:ascii="Helvetica" w:eastAsia="Helvetica" w:hAnsi="Helvetica" w:cs="Helvetica"/>
          <w:noProof/>
          <w:kern w:val="2"/>
          <w:sz w:val="22"/>
          <w:szCs w:val="22"/>
          <w:u w:color="000000"/>
        </w:rPr>
        <w:drawing>
          <wp:inline distT="0" distB="0" distL="0" distR="0" wp14:anchorId="7C461A6C" wp14:editId="28709F1E">
            <wp:extent cx="5943600" cy="287147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8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  <w:bookmarkStart w:id="0" w:name="_GoBack"/>
      <w:bookmarkEnd w:id="0"/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sz w:val="22"/>
          <w:szCs w:val="22"/>
          <w:u w:color="000000"/>
        </w:rPr>
      </w:pP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b/>
          <w:bCs/>
          <w:kern w:val="2"/>
          <w:sz w:val="22"/>
          <w:szCs w:val="22"/>
          <w:u w:color="000000"/>
        </w:rPr>
      </w:pPr>
      <w:r>
        <w:rPr>
          <w:rFonts w:ascii="Helvetica" w:hAnsi="Helvetica"/>
          <w:b/>
          <w:bCs/>
          <w:kern w:val="2"/>
          <w:sz w:val="22"/>
          <w:szCs w:val="22"/>
          <w:u w:color="000000"/>
          <w:lang w:val="es-ES_tradnl"/>
        </w:rPr>
        <w:lastRenderedPageBreak/>
        <w:t>Equipos que Conforman el WOS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Caseta contenedor de todos los equipos asociados al WOS.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control individual de pozo (SCP/VFD).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control de Clúster o Centralizado (SCC).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parada de emergencia (ESD).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Control de Acceso (SCA).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Agente Limpio (SAL).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Equipos de calidad de energía.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climatización interna (e-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Cos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>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Centro de distribución de potencia (CDP).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Centro de Servicios Auxiliares (CSA).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alimentación eléctrica regulada (UPS 240 / 120V).</w:t>
      </w:r>
    </w:p>
    <w:p w:rsidR="00C57047" w:rsidRDefault="00C57047" w:rsidP="00C57047">
      <w:pPr>
        <w:pStyle w:val="Body"/>
        <w:spacing w:line="240" w:lineRule="auto"/>
        <w:jc w:val="both"/>
        <w:rPr>
          <w:rFonts w:ascii="Helvetica" w:eastAsia="Helvetica" w:hAnsi="Helvetica" w:cs="Helvetica"/>
          <w:kern w:val="2"/>
          <w:u w:color="000000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Sistema de protección contra </w:t>
      </w:r>
      <w:proofErr w:type="spellStart"/>
      <w:r>
        <w:rPr>
          <w:rFonts w:ascii="Helvetica" w:hAnsi="Helvetica"/>
          <w:kern w:val="2"/>
          <w:u w:color="000000"/>
          <w:lang w:val="es-ES_tradnl"/>
        </w:rPr>
        <w:t>transientes</w:t>
      </w:r>
      <w:proofErr w:type="spellEnd"/>
      <w:r>
        <w:rPr>
          <w:rFonts w:ascii="Helvetica" w:hAnsi="Helvetica"/>
          <w:kern w:val="2"/>
          <w:u w:color="000000"/>
          <w:lang w:val="es-ES_tradnl"/>
        </w:rPr>
        <w:t xml:space="preserve"> eléctricos.</w:t>
      </w:r>
    </w:p>
    <w:p w:rsidR="00C57047" w:rsidRDefault="00C57047" w:rsidP="00C57047">
      <w:pPr>
        <w:pStyle w:val="Body"/>
        <w:spacing w:line="240" w:lineRule="auto"/>
        <w:jc w:val="both"/>
        <w:rPr>
          <w:rFonts w:hint="eastAsia"/>
        </w:rPr>
      </w:pPr>
      <w:r>
        <w:rPr>
          <w:rFonts w:ascii="Helvetica" w:hAnsi="Helvetica"/>
          <w:b/>
          <w:bCs/>
          <w:kern w:val="2"/>
          <w:u w:color="000000"/>
          <w:lang w:val="es-ES_tradnl"/>
        </w:rPr>
        <w:t>•</w:t>
      </w:r>
      <w:r>
        <w:rPr>
          <w:rFonts w:ascii="Helvetica" w:hAnsi="Helvetica"/>
          <w:kern w:val="2"/>
          <w:u w:color="000000"/>
          <w:lang w:val="es-ES_tradnl"/>
        </w:rPr>
        <w:t xml:space="preserve"> AVAS (Aplicaciones de Valor Agregado y Soluciones).</w:t>
      </w:r>
    </w:p>
    <w:p w:rsidR="003D6C8F" w:rsidRPr="00C57047" w:rsidRDefault="003D6C8F" w:rsidP="00C57047">
      <w:pPr>
        <w:pStyle w:val="Body"/>
        <w:spacing w:line="240" w:lineRule="auto"/>
      </w:pPr>
    </w:p>
    <w:sectPr w:rsidR="003D6C8F" w:rsidRPr="00C57047" w:rsidSect="00C57047">
      <w:headerReference w:type="default" r:id="rId19"/>
      <w:footerReference w:type="default" r:id="rId20"/>
      <w:type w:val="continuous"/>
      <w:pgSz w:w="12240" w:h="15840"/>
      <w:pgMar w:top="2517" w:right="1202" w:bottom="1797" w:left="1202" w:header="72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F38" w:rsidRDefault="00643F38">
      <w:r>
        <w:separator/>
      </w:r>
    </w:p>
  </w:endnote>
  <w:endnote w:type="continuationSeparator" w:id="0">
    <w:p w:rsidR="00643F38" w:rsidRDefault="00643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 Ultra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047" w:rsidRPr="008226E9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hint="eastAsia"/>
        <w:sz w:val="10"/>
        <w:szCs w:val="10"/>
        <w:lang w:val="en-US"/>
      </w:rPr>
    </w:pPr>
    <w:r>
      <w:rPr>
        <w:sz w:val="10"/>
        <w:szCs w:val="10"/>
        <w:lang w:val="en-US"/>
      </w:rPr>
      <w:t xml:space="preserve">This document </w:t>
    </w:r>
    <w:proofErr w:type="gramStart"/>
    <w:r>
      <w:rPr>
        <w:sz w:val="10"/>
        <w:szCs w:val="10"/>
        <w:lang w:val="en-US"/>
      </w:rPr>
      <w:t>is  property</w:t>
    </w:r>
    <w:proofErr w:type="gramEnd"/>
    <w:r>
      <w:rPr>
        <w:sz w:val="10"/>
        <w:szCs w:val="10"/>
        <w:lang w:val="en-US"/>
      </w:rPr>
      <w:t xml:space="preserve"> of BCP Group Artificial Lift- This document is not intended</w:t>
    </w:r>
    <w:r>
      <w:rPr>
        <w:sz w:val="10"/>
        <w:szCs w:val="10"/>
        <w:lang w:val="en-US"/>
      </w:rPr>
      <w:tab/>
    </w:r>
    <w:r>
      <w:rPr>
        <w:sz w:val="10"/>
        <w:szCs w:val="10"/>
        <w:lang w:val="en-US"/>
      </w:rPr>
      <w:tab/>
    </w:r>
    <w:r w:rsidRPr="008226E9">
      <w:rPr>
        <w:rFonts w:ascii="Helvetica Neue Light" w:hAnsi="Helvetica Neue Light"/>
        <w:color w:val="000000"/>
        <w:lang w:val="en-US"/>
      </w:rPr>
      <w:t xml:space="preserve"> </w:t>
    </w:r>
    <w:r>
      <w:rPr>
        <w:rFonts w:ascii="Helvetica Neue Light" w:hAnsi="Helvetica Neue Light"/>
        <w:color w:val="000000"/>
        <w:lang w:val="pt-PT"/>
      </w:rPr>
      <w:t>BCPGRP-DOC-OO2</w:t>
    </w:r>
    <w:r w:rsidRPr="008226E9">
      <w:rPr>
        <w:rFonts w:ascii="Helvetica Neue Light" w:hAnsi="Helvetica Neue Light"/>
        <w:color w:val="000000"/>
        <w:lang w:val="en-US"/>
      </w:rPr>
      <w:t>3-2016</w:t>
    </w:r>
    <w:r>
      <w:rPr>
        <w:rFonts w:ascii="Helvetica Neue Light" w:hAnsi="Helvetica Neue Light"/>
        <w:color w:val="FEFEFE"/>
        <w:sz w:val="16"/>
        <w:szCs w:val="16"/>
        <w:lang w:val="en-US"/>
      </w:rPr>
      <w:t>…</w:t>
    </w:r>
  </w:p>
  <w:p w:rsidR="00C57047" w:rsidRPr="008226E9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hint="eastAsia"/>
        <w:sz w:val="10"/>
        <w:szCs w:val="10"/>
        <w:lang w:val="en-US"/>
      </w:rPr>
    </w:pPr>
    <w:r>
      <w:rPr>
        <w:sz w:val="10"/>
        <w:szCs w:val="10"/>
        <w:lang w:val="en-US"/>
      </w:rPr>
      <w:t xml:space="preserve"> </w:t>
    </w:r>
    <w:proofErr w:type="gramStart"/>
    <w:r>
      <w:rPr>
        <w:sz w:val="10"/>
        <w:szCs w:val="10"/>
        <w:lang w:val="en-US"/>
      </w:rPr>
      <w:t>for</w:t>
    </w:r>
    <w:proofErr w:type="gramEnd"/>
    <w:r>
      <w:rPr>
        <w:sz w:val="10"/>
        <w:szCs w:val="10"/>
        <w:lang w:val="en-US"/>
      </w:rPr>
      <w:t xml:space="preserve"> general circulation and may not be reproduced or distributed without the</w:t>
    </w:r>
  </w:p>
  <w:p w:rsidR="00C57047" w:rsidRPr="008226E9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hint="eastAsia"/>
        <w:lang w:val="en-US"/>
      </w:rPr>
    </w:pPr>
    <w:r>
      <w:rPr>
        <w:sz w:val="10"/>
        <w:szCs w:val="10"/>
        <w:lang w:val="en-US"/>
      </w:rPr>
      <w:t xml:space="preserve"> </w:t>
    </w:r>
    <w:proofErr w:type="gramStart"/>
    <w:r>
      <w:rPr>
        <w:sz w:val="10"/>
        <w:szCs w:val="10"/>
        <w:lang w:val="en-US"/>
      </w:rPr>
      <w:t>approval</w:t>
    </w:r>
    <w:proofErr w:type="gramEnd"/>
    <w:r>
      <w:rPr>
        <w:sz w:val="10"/>
        <w:szCs w:val="10"/>
        <w:lang w:val="en-US"/>
      </w:rPr>
      <w:t xml:space="preserve"> of BCP Group Holding.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047" w:rsidRPr="00C57047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C57047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65408" behindDoc="0" locked="0" layoutInCell="1" allowOverlap="1" wp14:anchorId="22BC54EA" wp14:editId="2E125B71">
              <wp:simplePos x="0" y="0"/>
              <wp:positionH relativeFrom="page">
                <wp:posOffset>762000</wp:posOffset>
              </wp:positionH>
              <wp:positionV relativeFrom="page">
                <wp:posOffset>9038590</wp:posOffset>
              </wp:positionV>
              <wp:extent cx="6146801" cy="1"/>
              <wp:effectExtent l="0" t="0" r="25400" b="19050"/>
              <wp:wrapNone/>
              <wp:docPr id="107374183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1" cy="1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91AD07A" id="officeArt object" o:spid="_x0000_s1026" style="position:absolute;flip:y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11.7pt" to="544pt,7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Pr="00C57047">
      <w:rPr>
        <w:rFonts w:ascii="Arial" w:hAnsi="Arial" w:cs="Arial"/>
        <w:sz w:val="10"/>
        <w:szCs w:val="10"/>
        <w:lang w:val="en-US"/>
      </w:rPr>
      <w:t xml:space="preserve">This document </w:t>
    </w:r>
    <w:r w:rsidRPr="00C57047">
      <w:rPr>
        <w:rFonts w:ascii="Arial" w:hAnsi="Arial" w:cs="Arial"/>
        <w:sz w:val="10"/>
        <w:szCs w:val="10"/>
        <w:lang w:val="en-US"/>
      </w:rPr>
      <w:t>is property</w:t>
    </w:r>
    <w:r w:rsidRPr="00C57047">
      <w:rPr>
        <w:rFonts w:ascii="Arial" w:hAnsi="Arial" w:cs="Arial"/>
        <w:sz w:val="10"/>
        <w:szCs w:val="10"/>
        <w:lang w:val="en-US"/>
      </w:rPr>
      <w:t xml:space="preserve"> of BCP Group Artificial Lift- This document is not intended</w:t>
    </w:r>
    <w:r w:rsidRPr="00C57047">
      <w:rPr>
        <w:rFonts w:ascii="Arial" w:hAnsi="Arial" w:cs="Arial"/>
        <w:sz w:val="10"/>
        <w:szCs w:val="10"/>
        <w:lang w:val="en-US"/>
      </w:rPr>
      <w:tab/>
    </w:r>
    <w:r w:rsidRPr="00C57047">
      <w:rPr>
        <w:rFonts w:ascii="Arial" w:hAnsi="Arial" w:cs="Arial"/>
        <w:sz w:val="10"/>
        <w:szCs w:val="10"/>
        <w:lang w:val="en-US"/>
      </w:rPr>
      <w:tab/>
    </w:r>
    <w:r w:rsidRPr="00C57047">
      <w:rPr>
        <w:rFonts w:ascii="Arial" w:hAnsi="Arial" w:cs="Arial"/>
        <w:color w:val="000000"/>
        <w:lang w:val="en-US"/>
      </w:rPr>
      <w:t xml:space="preserve"> </w:t>
    </w:r>
    <w:r w:rsidRPr="00C57047">
      <w:rPr>
        <w:rFonts w:ascii="Arial" w:hAnsi="Arial" w:cs="Arial"/>
        <w:color w:val="000000"/>
        <w:lang w:val="pt-PT"/>
      </w:rPr>
      <w:t>BCPGRP-DOC-OO2</w:t>
    </w:r>
    <w:r w:rsidRPr="00C57047">
      <w:rPr>
        <w:rFonts w:ascii="Arial" w:hAnsi="Arial" w:cs="Arial"/>
        <w:color w:val="000000"/>
        <w:lang w:val="en-US"/>
      </w:rPr>
      <w:t>3-2016</w:t>
    </w:r>
    <w:r w:rsidRPr="00C57047">
      <w:rPr>
        <w:rFonts w:ascii="Arial" w:hAnsi="Arial" w:cs="Arial"/>
        <w:color w:val="FEFEFE"/>
        <w:sz w:val="16"/>
        <w:szCs w:val="16"/>
        <w:lang w:val="en-US"/>
      </w:rPr>
      <w:t>…</w:t>
    </w:r>
  </w:p>
  <w:p w:rsidR="00C57047" w:rsidRPr="00C57047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C57047">
      <w:rPr>
        <w:rFonts w:ascii="Arial" w:hAnsi="Arial" w:cs="Arial"/>
        <w:sz w:val="10"/>
        <w:szCs w:val="10"/>
        <w:lang w:val="en-US"/>
      </w:rPr>
      <w:t xml:space="preserve"> </w:t>
    </w:r>
    <w:r w:rsidRPr="00C57047">
      <w:rPr>
        <w:rFonts w:ascii="Arial" w:hAnsi="Arial" w:cs="Arial"/>
        <w:sz w:val="10"/>
        <w:szCs w:val="10"/>
        <w:lang w:val="en-US"/>
      </w:rPr>
      <w:t>For</w:t>
    </w:r>
    <w:r w:rsidRPr="00C57047">
      <w:rPr>
        <w:rFonts w:ascii="Arial" w:hAnsi="Arial" w:cs="Arial"/>
        <w:sz w:val="10"/>
        <w:szCs w:val="10"/>
        <w:lang w:val="en-US"/>
      </w:rPr>
      <w:t xml:space="preserve"> general circulation and may not be reproduced or distributed without the</w:t>
    </w:r>
  </w:p>
  <w:p w:rsidR="00C57047" w:rsidRPr="00C57047" w:rsidRDefault="00C57047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C57047">
      <w:rPr>
        <w:rFonts w:ascii="Arial" w:hAnsi="Arial" w:cs="Arial"/>
        <w:sz w:val="10"/>
        <w:szCs w:val="10"/>
        <w:lang w:val="en-US"/>
      </w:rPr>
      <w:t xml:space="preserve"> </w:t>
    </w:r>
    <w:r w:rsidRPr="00C57047">
      <w:rPr>
        <w:rFonts w:ascii="Arial" w:hAnsi="Arial" w:cs="Arial"/>
        <w:sz w:val="10"/>
        <w:szCs w:val="10"/>
        <w:lang w:val="en-US"/>
      </w:rPr>
      <w:t>Approval</w:t>
    </w:r>
    <w:r w:rsidRPr="00C57047">
      <w:rPr>
        <w:rFonts w:ascii="Arial" w:hAnsi="Arial" w:cs="Arial"/>
        <w:sz w:val="10"/>
        <w:szCs w:val="10"/>
        <w:lang w:val="en-US"/>
      </w:rPr>
      <w:t xml:space="preserve"> of BCP Group Holding.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Pr="00E87865" w:rsidRDefault="00E87865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48CEC2C9" wp14:editId="3F136A3E">
              <wp:simplePos x="0" y="0"/>
              <wp:positionH relativeFrom="page">
                <wp:posOffset>762000</wp:posOffset>
              </wp:positionH>
              <wp:positionV relativeFrom="page">
                <wp:posOffset>9038590</wp:posOffset>
              </wp:positionV>
              <wp:extent cx="6146801" cy="1"/>
              <wp:effectExtent l="0" t="0" r="25400" b="19050"/>
              <wp:wrapNone/>
              <wp:docPr id="107374184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6801" cy="1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207312A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711.7pt" to="544pt,7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" strokecolor="#354c9c" strokeweight="1pt">
              <v:stroke miterlimit="4" joinstyle="miter"/>
              <w10:wrap anchorx="page" anchory="page"/>
            </v:line>
          </w:pict>
        </mc:Fallback>
      </mc:AlternateContent>
    </w:r>
    <w:r w:rsidR="00643F38" w:rsidRPr="00E87865">
      <w:rPr>
        <w:rFonts w:ascii="Arial" w:hAnsi="Arial" w:cs="Arial"/>
        <w:sz w:val="10"/>
        <w:szCs w:val="10"/>
        <w:lang w:val="en-US"/>
      </w:rPr>
      <w:t xml:space="preserve">This document </w:t>
    </w:r>
    <w:r w:rsidRPr="00E87865">
      <w:rPr>
        <w:rFonts w:ascii="Arial" w:hAnsi="Arial" w:cs="Arial"/>
        <w:sz w:val="10"/>
        <w:szCs w:val="10"/>
        <w:lang w:val="en-US"/>
      </w:rPr>
      <w:t>is property</w:t>
    </w:r>
    <w:r w:rsidR="00643F38" w:rsidRPr="00E87865">
      <w:rPr>
        <w:rFonts w:ascii="Arial" w:hAnsi="Arial" w:cs="Arial"/>
        <w:sz w:val="10"/>
        <w:szCs w:val="10"/>
        <w:lang w:val="en-US"/>
      </w:rPr>
      <w:t xml:space="preserve"> of BCP Group Artificial Lift- This document is not intended</w:t>
    </w:r>
    <w:r w:rsidR="00643F38" w:rsidRPr="00E87865">
      <w:rPr>
        <w:rFonts w:ascii="Arial" w:hAnsi="Arial" w:cs="Arial"/>
        <w:sz w:val="10"/>
        <w:szCs w:val="10"/>
        <w:lang w:val="en-US"/>
      </w:rPr>
      <w:tab/>
    </w:r>
    <w:r w:rsidR="00643F38" w:rsidRPr="00E87865">
      <w:rPr>
        <w:rFonts w:ascii="Arial" w:hAnsi="Arial" w:cs="Arial"/>
        <w:sz w:val="10"/>
        <w:szCs w:val="10"/>
        <w:lang w:val="en-US"/>
      </w:rPr>
      <w:tab/>
    </w:r>
    <w:r w:rsidR="00643F38" w:rsidRPr="00E87865">
      <w:rPr>
        <w:rFonts w:ascii="Arial" w:hAnsi="Arial" w:cs="Arial"/>
        <w:color w:val="000000"/>
        <w:lang w:val="en-US"/>
      </w:rPr>
      <w:t xml:space="preserve"> </w:t>
    </w:r>
    <w:r w:rsidR="00643F38" w:rsidRPr="00E87865">
      <w:rPr>
        <w:rFonts w:ascii="Arial" w:hAnsi="Arial" w:cs="Arial"/>
        <w:color w:val="000000"/>
        <w:lang w:val="pt-PT"/>
      </w:rPr>
      <w:t>BCPGRP-DOC-OO2</w:t>
    </w:r>
    <w:r w:rsidR="00C57047">
      <w:rPr>
        <w:rFonts w:ascii="Arial" w:hAnsi="Arial" w:cs="Arial"/>
        <w:color w:val="000000"/>
        <w:lang w:val="en-US"/>
      </w:rPr>
      <w:t>3</w:t>
    </w:r>
    <w:r w:rsidR="00643F38" w:rsidRPr="00E87865">
      <w:rPr>
        <w:rFonts w:ascii="Arial" w:hAnsi="Arial" w:cs="Arial"/>
        <w:color w:val="000000"/>
        <w:lang w:val="en-US"/>
      </w:rPr>
      <w:t>-201</w:t>
    </w:r>
    <w:r w:rsidR="00643F38" w:rsidRPr="00E87865">
      <w:rPr>
        <w:rFonts w:ascii="Arial" w:hAnsi="Arial" w:cs="Arial"/>
        <w:color w:val="000000"/>
        <w:lang w:val="en-US"/>
      </w:rPr>
      <w:t>6</w:t>
    </w:r>
    <w:r w:rsidR="00643F38" w:rsidRPr="00E87865">
      <w:rPr>
        <w:rFonts w:ascii="Arial" w:hAnsi="Arial" w:cs="Arial"/>
        <w:color w:val="FEFEFE"/>
        <w:sz w:val="16"/>
        <w:szCs w:val="16"/>
        <w:lang w:val="en-US"/>
      </w:rPr>
      <w:t>…</w:t>
    </w:r>
  </w:p>
  <w:p w:rsidR="003D6C8F" w:rsidRPr="00E87865" w:rsidRDefault="00643F3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sz w:val="10"/>
        <w:szCs w:val="10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For</w:t>
    </w:r>
    <w:r w:rsidRPr="00E87865">
      <w:rPr>
        <w:rFonts w:ascii="Arial" w:hAnsi="Arial" w:cs="Arial"/>
        <w:sz w:val="10"/>
        <w:szCs w:val="10"/>
        <w:lang w:val="en-US"/>
      </w:rPr>
      <w:t xml:space="preserve"> general circulation and may not be reproduced or distributed without the</w:t>
    </w:r>
  </w:p>
  <w:p w:rsidR="003D6C8F" w:rsidRPr="00E87865" w:rsidRDefault="00643F38">
    <w:pPr>
      <w:pStyle w:val="HeaderFooter"/>
      <w:tabs>
        <w:tab w:val="clear" w:pos="9020"/>
        <w:tab w:val="center" w:pos="4920"/>
        <w:tab w:val="right" w:pos="9840"/>
      </w:tabs>
      <w:spacing w:line="264" w:lineRule="auto"/>
      <w:rPr>
        <w:rFonts w:ascii="Arial" w:hAnsi="Arial" w:cs="Arial"/>
        <w:lang w:val="en-US"/>
      </w:rPr>
    </w:pPr>
    <w:r w:rsidRPr="00E87865">
      <w:rPr>
        <w:rFonts w:ascii="Arial" w:hAnsi="Arial" w:cs="Arial"/>
        <w:sz w:val="10"/>
        <w:szCs w:val="10"/>
        <w:lang w:val="en-US"/>
      </w:rPr>
      <w:t xml:space="preserve"> </w:t>
    </w:r>
    <w:r w:rsidR="00E87865" w:rsidRPr="00E87865">
      <w:rPr>
        <w:rFonts w:ascii="Arial" w:hAnsi="Arial" w:cs="Arial"/>
        <w:sz w:val="10"/>
        <w:szCs w:val="10"/>
        <w:lang w:val="en-US"/>
      </w:rPr>
      <w:t>Approval</w:t>
    </w:r>
    <w:r w:rsidRPr="00E87865">
      <w:rPr>
        <w:rFonts w:ascii="Arial" w:hAnsi="Arial" w:cs="Arial"/>
        <w:sz w:val="10"/>
        <w:szCs w:val="10"/>
        <w:lang w:val="en-US"/>
      </w:rPr>
      <w:t xml:space="preserve"> of BCP Group Holding.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F38" w:rsidRDefault="00643F38">
      <w:r>
        <w:separator/>
      </w:r>
    </w:p>
  </w:footnote>
  <w:footnote w:type="continuationSeparator" w:id="0">
    <w:p w:rsidR="00643F38" w:rsidRDefault="00643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047" w:rsidRDefault="00C57047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w:drawing>
        <wp:inline distT="0" distB="0" distL="0" distR="0" wp14:anchorId="71D77B6F" wp14:editId="72A7520C">
          <wp:extent cx="949503" cy="800626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57047" w:rsidRDefault="00C57047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0" locked="0" layoutInCell="1" allowOverlap="1" wp14:anchorId="450E304F" wp14:editId="4C601CCB">
              <wp:simplePos x="0" y="0"/>
              <wp:positionH relativeFrom="page">
                <wp:posOffset>762000</wp:posOffset>
              </wp:positionH>
              <wp:positionV relativeFrom="page">
                <wp:posOffset>1362075</wp:posOffset>
              </wp:positionV>
              <wp:extent cx="6247765" cy="0"/>
              <wp:effectExtent l="0" t="19050" r="19685" b="1905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7765" cy="0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A2A2A34" id="officeArt object" o:spid="_x0000_s1026" style="position:absolute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107.25pt" to="551.95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" strokecolor="#354c9c" strokeweight="3pt">
              <v:stroke miterlimit="4"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047" w:rsidRDefault="00C57047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w:drawing>
        <wp:inline distT="0" distB="0" distL="0" distR="0" wp14:anchorId="03901740" wp14:editId="49D892EB">
          <wp:extent cx="949503" cy="80062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57047" w:rsidRDefault="00C57047">
    <w:pPr>
      <w:pStyle w:val="HeaderFooter"/>
      <w:tabs>
        <w:tab w:val="clear" w:pos="9020"/>
        <w:tab w:val="center" w:pos="4920"/>
        <w:tab w:val="right" w:pos="9840"/>
      </w:tabs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67456" behindDoc="0" locked="0" layoutInCell="1" allowOverlap="1" wp14:anchorId="263EECA1" wp14:editId="5708B068">
              <wp:simplePos x="0" y="0"/>
              <wp:positionH relativeFrom="page">
                <wp:posOffset>762000</wp:posOffset>
              </wp:positionH>
              <wp:positionV relativeFrom="page">
                <wp:posOffset>1333500</wp:posOffset>
              </wp:positionV>
              <wp:extent cx="6247765" cy="0"/>
              <wp:effectExtent l="0" t="19050" r="19685" b="19050"/>
              <wp:wrapNone/>
              <wp:docPr id="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7765" cy="0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DE6D16E"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pt,105pt" to="551.9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" strokecolor="#354c9c" strokeweight="3pt">
              <v:stroke miterlimit="4"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C8F" w:rsidRDefault="00C57047">
    <w:pPr>
      <w:pStyle w:val="HeaderFooter"/>
      <w:tabs>
        <w:tab w:val="clear" w:pos="9020"/>
        <w:tab w:val="center" w:pos="4920"/>
        <w:tab w:val="right" w:pos="9840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0" locked="0" layoutInCell="1" allowOverlap="1" wp14:anchorId="1F36C31B" wp14:editId="12E79D08">
              <wp:simplePos x="0" y="0"/>
              <wp:positionH relativeFrom="page">
                <wp:posOffset>763270</wp:posOffset>
              </wp:positionH>
              <wp:positionV relativeFrom="page">
                <wp:posOffset>1381125</wp:posOffset>
              </wp:positionV>
              <wp:extent cx="6247765" cy="0"/>
              <wp:effectExtent l="0" t="19050" r="19685" b="19050"/>
              <wp:wrapNone/>
              <wp:docPr id="107374183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7765" cy="0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rgbClr val="354C9C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E32DEEA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0.1pt,108.75pt" to="552.0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" strokecolor="#354c9c" strokeweight="3pt">
              <v:stroke miterlimit="4" joinstyle="miter"/>
              <w10:wrap anchorx="page" anchory="page"/>
            </v:line>
          </w:pict>
        </mc:Fallback>
      </mc:AlternateContent>
    </w:r>
    <w:r w:rsidR="00643F38">
      <w:rPr>
        <w:noProof/>
      </w:rPr>
      <w:drawing>
        <wp:inline distT="0" distB="0" distL="0" distR="0" wp14:anchorId="715851F6" wp14:editId="644D42DA">
          <wp:extent cx="949503" cy="800626"/>
          <wp:effectExtent l="0" t="0" r="0" b="0"/>
          <wp:docPr id="107374183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777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3" r="33"/>
                  <a:stretch>
                    <a:fillRect/>
                  </a:stretch>
                </pic:blipFill>
                <pic:spPr>
                  <a:xfrm>
                    <a:off x="0" y="0"/>
                    <a:ext cx="949503" cy="80062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643F38">
      <w:tab/>
    </w:r>
    <w:r w:rsidR="00643F38">
      <w:tab/>
    </w:r>
    <w:r w:rsidR="00643F38">
      <w:rPr>
        <w:noProof/>
      </w:rPr>
      <w:drawing>
        <wp:inline distT="0" distB="0" distL="0" distR="0">
          <wp:extent cx="856129" cy="850900"/>
          <wp:effectExtent l="0" t="0" r="0" b="0"/>
          <wp:docPr id="107374183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CILA2S-LOGO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29" cy="850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B0C7A"/>
    <w:multiLevelType w:val="hybridMultilevel"/>
    <w:tmpl w:val="B6CEB59E"/>
    <w:styleLink w:val="Bullet"/>
    <w:lvl w:ilvl="0" w:tplc="08ACEEFE">
      <w:start w:val="1"/>
      <w:numFmt w:val="bullet"/>
      <w:lvlText w:val="•"/>
      <w:lvlJc w:val="left"/>
      <w:pPr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45D44544">
      <w:start w:val="1"/>
      <w:numFmt w:val="bullet"/>
      <w:lvlText w:val="•"/>
      <w:lvlJc w:val="left"/>
      <w:pPr>
        <w:ind w:left="4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C7A2210A">
      <w:start w:val="1"/>
      <w:numFmt w:val="bullet"/>
      <w:lvlText w:val="•"/>
      <w:lvlJc w:val="left"/>
      <w:pPr>
        <w:ind w:left="6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00806B6A">
      <w:start w:val="1"/>
      <w:numFmt w:val="bullet"/>
      <w:lvlText w:val="•"/>
      <w:lvlJc w:val="left"/>
      <w:pPr>
        <w:ind w:left="9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5996461A">
      <w:start w:val="1"/>
      <w:numFmt w:val="bullet"/>
      <w:lvlText w:val="•"/>
      <w:lvlJc w:val="left"/>
      <w:pPr>
        <w:ind w:left="112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BA4ED63A">
      <w:start w:val="1"/>
      <w:numFmt w:val="bullet"/>
      <w:lvlText w:val="•"/>
      <w:lvlJc w:val="left"/>
      <w:pPr>
        <w:ind w:left="134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13BC73BC">
      <w:start w:val="1"/>
      <w:numFmt w:val="bullet"/>
      <w:lvlText w:val="•"/>
      <w:lvlJc w:val="left"/>
      <w:pPr>
        <w:ind w:left="156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762289E4">
      <w:start w:val="1"/>
      <w:numFmt w:val="bullet"/>
      <w:lvlText w:val="•"/>
      <w:lvlJc w:val="left"/>
      <w:pPr>
        <w:ind w:left="178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6BBA5F34">
      <w:start w:val="1"/>
      <w:numFmt w:val="bullet"/>
      <w:lvlText w:val="•"/>
      <w:lvlJc w:val="left"/>
      <w:pPr>
        <w:ind w:left="2002" w:hanging="2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01417EC"/>
    <w:multiLevelType w:val="hybridMultilevel"/>
    <w:tmpl w:val="B6CEB59E"/>
    <w:numStyleLink w:val="Bullet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C8F"/>
    <w:rsid w:val="003D6C8F"/>
    <w:rsid w:val="00643F38"/>
    <w:rsid w:val="00C57047"/>
    <w:rsid w:val="00E8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DE11D-69F7-4734-9839-3130E6924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customStyle="1" w:styleId="Body">
    <w:name w:val="Body"/>
    <w:pPr>
      <w:spacing w:line="312" w:lineRule="auto"/>
    </w:pPr>
    <w:rPr>
      <w:rFonts w:ascii="Helvetica Neue Light" w:hAnsi="Helvetica Neue Light" w:cs="Arial Unicode MS"/>
      <w:color w:val="000000"/>
    </w:rPr>
  </w:style>
  <w:style w:type="numbering" w:customStyle="1" w:styleId="Bullet">
    <w:name w:val="Bullet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786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87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86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 Erazo</dc:creator>
  <cp:lastModifiedBy>Jair Erazo</cp:lastModifiedBy>
  <cp:revision>2</cp:revision>
  <dcterms:created xsi:type="dcterms:W3CDTF">2016-02-10T19:17:00Z</dcterms:created>
  <dcterms:modified xsi:type="dcterms:W3CDTF">2016-02-10T19:17:00Z</dcterms:modified>
</cp:coreProperties>
</file>